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DD" w:rsidRPr="000B57A0" w:rsidRDefault="002C64CE" w:rsidP="000B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Détaxe Global Blue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4"/>
        <w:gridCol w:w="1461"/>
        <w:gridCol w:w="954"/>
        <w:gridCol w:w="593"/>
        <w:gridCol w:w="1341"/>
        <w:gridCol w:w="2391"/>
      </w:tblGrid>
      <w:tr w:rsidR="006A7079" w:rsidTr="00C07AAA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Historique des modifications</w:t>
            </w:r>
          </w:p>
        </w:tc>
      </w:tr>
      <w:tr w:rsidR="006A7079" w:rsidTr="006A7079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Approbateur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6A7079" w:rsidRDefault="006A7079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Motifs</w:t>
            </w:r>
          </w:p>
        </w:tc>
      </w:tr>
      <w:tr w:rsidR="006A7079" w:rsidTr="006A7079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6A7079" w:rsidRDefault="006A707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6A7079" w:rsidRDefault="006A7079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6A7079" w:rsidRDefault="002C64C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6A707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="006A7079">
              <w:rPr>
                <w:rFonts w:ascii="Arial" w:hAnsi="Arial" w:cs="Arial"/>
              </w:rPr>
              <w:t>/2017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6A7079" w:rsidRDefault="006A7079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Première version </w:t>
            </w:r>
          </w:p>
        </w:tc>
      </w:tr>
    </w:tbl>
    <w:p w:rsidR="006A7079" w:rsidRDefault="006A7079" w:rsidP="00E50F37"/>
    <w:p w:rsidR="00E42B78" w:rsidRDefault="00E50F37" w:rsidP="00E50F37">
      <w:r>
        <w:t xml:space="preserve">LCV vous permet maintenant de </w:t>
      </w:r>
      <w:r w:rsidR="00AE5DD3">
        <w:t>gérer la détaxe en caisse avec le prestataire Global Blue.</w:t>
      </w:r>
    </w:p>
    <w:p w:rsidR="00AE5DD3" w:rsidRDefault="00AE5DD3" w:rsidP="00E50F37">
      <w:r>
        <w:t>Il faut dans un premier temps prendre contact avec eux pour la mise en place de leur solution.</w:t>
      </w:r>
    </w:p>
    <w:p w:rsidR="00AE5DD3" w:rsidRDefault="00AE5DD3" w:rsidP="00E50F37"/>
    <w:p w:rsidR="00AE5DD3" w:rsidRPr="00A30FF0" w:rsidRDefault="00AE5DD3" w:rsidP="00E50F37">
      <w:pPr>
        <w:rPr>
          <w:b/>
          <w:sz w:val="28"/>
          <w:szCs w:val="28"/>
          <w:u w:val="single"/>
        </w:rPr>
      </w:pPr>
      <w:r w:rsidRPr="00A30FF0">
        <w:rPr>
          <w:b/>
          <w:sz w:val="28"/>
          <w:szCs w:val="28"/>
          <w:u w:val="single"/>
        </w:rPr>
        <w:t>Etape 1 : Installation</w:t>
      </w:r>
    </w:p>
    <w:p w:rsidR="00AE5DD3" w:rsidRDefault="00A30FF0" w:rsidP="00E50F37">
      <w:r>
        <w:t>Au niveau de l’installation et du paramétrage, il faut vous rapprocher de Global Blue.</w:t>
      </w:r>
    </w:p>
    <w:p w:rsidR="00A30FF0" w:rsidRDefault="00A30FF0" w:rsidP="00E50F37">
      <w:r>
        <w:t>Le logiciel a besoin quand même que deux choses soient faites :</w:t>
      </w:r>
    </w:p>
    <w:p w:rsidR="00A30FF0" w:rsidRDefault="00A30FF0" w:rsidP="00E50F37"/>
    <w:p w:rsidR="00A30FF0" w:rsidRDefault="00A30FF0" w:rsidP="00A30FF0">
      <w:pPr>
        <w:pStyle w:val="Paragraphedeliste"/>
        <w:numPr>
          <w:ilvl w:val="0"/>
          <w:numId w:val="26"/>
        </w:numPr>
      </w:pPr>
      <w:r>
        <w:t xml:space="preserve">Le dossier d’installation doit toujours être </w:t>
      </w:r>
      <w:r w:rsidRPr="00A30FF0">
        <w:t>C:\Global Blue</w:t>
      </w:r>
    </w:p>
    <w:p w:rsidR="00A30FF0" w:rsidRDefault="00A30FF0" w:rsidP="00A30FF0">
      <w:pPr>
        <w:pStyle w:val="Paragraphedeliste"/>
      </w:pPr>
    </w:p>
    <w:p w:rsidR="00A30FF0" w:rsidRDefault="00A30FF0" w:rsidP="00A30FF0">
      <w:pPr>
        <w:pStyle w:val="Paragraphedeliste"/>
        <w:numPr>
          <w:ilvl w:val="0"/>
          <w:numId w:val="26"/>
        </w:numPr>
      </w:pPr>
      <w:r>
        <w:t>Si vous avez un environnement en 64 bits, l’indiquer à Global Blue qu’il n’oublie pas d’activer deux commandes sur les ordinateurs avec les droits administrateurs depuis l’invite de commande :</w:t>
      </w:r>
    </w:p>
    <w:p w:rsidR="00A30FF0" w:rsidRDefault="00A30FF0" w:rsidP="00A30FF0">
      <w:r>
        <w:t>C:\Windows\Microsoft.NET\Framework64\v4.0.30319\regasm /</w:t>
      </w:r>
      <w:proofErr w:type="spellStart"/>
      <w:r>
        <w:t>tlb</w:t>
      </w:r>
      <w:proofErr w:type="spellEnd"/>
      <w:r>
        <w:t xml:space="preserve"> /codebase “c:\global </w:t>
      </w:r>
      <w:proofErr w:type="spellStart"/>
      <w:r>
        <w:t>blue</w:t>
      </w:r>
      <w:proofErr w:type="spellEnd"/>
      <w:r>
        <w:t>\i1integration\GBI1FWAdapt.dll”</w:t>
      </w:r>
    </w:p>
    <w:p w:rsidR="00A30FF0" w:rsidRDefault="00A30FF0" w:rsidP="00A30FF0">
      <w:r>
        <w:t>C:\Windows\Microsoft.NET\Framework64\v2.0.50727\regasm /</w:t>
      </w:r>
      <w:proofErr w:type="spellStart"/>
      <w:r>
        <w:t>tlb</w:t>
      </w:r>
      <w:proofErr w:type="spellEnd"/>
      <w:r>
        <w:t xml:space="preserve"> /codebase “c:\global </w:t>
      </w:r>
      <w:proofErr w:type="spellStart"/>
      <w:r>
        <w:t>blue</w:t>
      </w:r>
      <w:proofErr w:type="spellEnd"/>
      <w:r>
        <w:t>\GBI1COM.dll”</w:t>
      </w:r>
    </w:p>
    <w:p w:rsidR="00803084" w:rsidRDefault="00803084" w:rsidP="00A30FF0"/>
    <w:p w:rsidR="00803084" w:rsidRDefault="00803084" w:rsidP="00A30FF0"/>
    <w:p w:rsidR="00803084" w:rsidRDefault="00803084" w:rsidP="00A30FF0"/>
    <w:p w:rsidR="00803084" w:rsidRDefault="00803084" w:rsidP="00A30FF0"/>
    <w:p w:rsidR="00803084" w:rsidRDefault="00803084" w:rsidP="00A30FF0"/>
    <w:p w:rsidR="00803084" w:rsidRDefault="00803084" w:rsidP="00A30FF0"/>
    <w:p w:rsidR="00803084" w:rsidRDefault="00803084" w:rsidP="00A30FF0"/>
    <w:p w:rsidR="00803084" w:rsidRPr="00A30FF0" w:rsidRDefault="00803084" w:rsidP="00803084">
      <w:pPr>
        <w:rPr>
          <w:b/>
          <w:sz w:val="28"/>
          <w:szCs w:val="28"/>
          <w:u w:val="single"/>
        </w:rPr>
      </w:pPr>
      <w:r w:rsidRPr="00A30FF0">
        <w:rPr>
          <w:b/>
          <w:sz w:val="28"/>
          <w:szCs w:val="28"/>
          <w:u w:val="single"/>
        </w:rPr>
        <w:lastRenderedPageBreak/>
        <w:t xml:space="preserve">Etape </w:t>
      </w:r>
      <w:r>
        <w:rPr>
          <w:b/>
          <w:sz w:val="28"/>
          <w:szCs w:val="28"/>
          <w:u w:val="single"/>
        </w:rPr>
        <w:t xml:space="preserve">2 </w:t>
      </w:r>
      <w:r w:rsidRPr="00A30FF0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Configuration de LCV</w:t>
      </w:r>
    </w:p>
    <w:p w:rsidR="00803084" w:rsidRDefault="00803084" w:rsidP="00A30FF0">
      <w:r>
        <w:t>Il n’y a qu’une chose à configurer, à savoir les pays, est plus précisément, le code des pays au format ISO 3166-1</w:t>
      </w:r>
    </w:p>
    <w:p w:rsidR="00803084" w:rsidRDefault="00803084" w:rsidP="00A30FF0">
      <w:r>
        <w:t>Il faut dons dans vos paramètres, lister vos pays et indiquer le code ISO 3166-1 dans la colonne correspondante.</w:t>
      </w:r>
    </w:p>
    <w:p w:rsidR="00803084" w:rsidRDefault="00803084" w:rsidP="00A30FF0">
      <w:r>
        <w:t>Si cela n’est pas fait, vous devrez indiquer le pays du client lors de la détaxe.</w:t>
      </w:r>
    </w:p>
    <w:p w:rsidR="00803084" w:rsidRDefault="00803084" w:rsidP="00A30FF0">
      <w:r>
        <w:rPr>
          <w:noProof/>
        </w:rPr>
        <w:drawing>
          <wp:inline distT="0" distB="0" distL="0" distR="0" wp14:anchorId="18F02496" wp14:editId="3D11DCC5">
            <wp:extent cx="5760720" cy="4001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F0" w:rsidRDefault="00A30FF0" w:rsidP="00E50F37"/>
    <w:p w:rsidR="00803084" w:rsidRDefault="00803084" w:rsidP="00E50F37"/>
    <w:p w:rsidR="00803084" w:rsidRDefault="00803084" w:rsidP="00E50F37"/>
    <w:p w:rsidR="00803084" w:rsidRDefault="00803084" w:rsidP="00E50F37"/>
    <w:p w:rsidR="00803084" w:rsidRDefault="00803084" w:rsidP="00E50F37"/>
    <w:p w:rsidR="00803084" w:rsidRDefault="00803084" w:rsidP="00E50F37"/>
    <w:p w:rsidR="00803084" w:rsidRDefault="00803084" w:rsidP="00E50F37"/>
    <w:p w:rsidR="00803084" w:rsidRDefault="00803084" w:rsidP="00E50F37"/>
    <w:p w:rsidR="00AE5DD3" w:rsidRPr="00A30FF0" w:rsidRDefault="00AE5DD3" w:rsidP="00E50F37">
      <w:pPr>
        <w:rPr>
          <w:b/>
          <w:sz w:val="28"/>
          <w:szCs w:val="28"/>
          <w:u w:val="single"/>
        </w:rPr>
      </w:pPr>
      <w:r w:rsidRPr="00A30FF0">
        <w:rPr>
          <w:b/>
          <w:sz w:val="28"/>
          <w:szCs w:val="28"/>
          <w:u w:val="single"/>
        </w:rPr>
        <w:lastRenderedPageBreak/>
        <w:t xml:space="preserve">Etape </w:t>
      </w:r>
      <w:r w:rsidR="00803084">
        <w:rPr>
          <w:b/>
          <w:sz w:val="28"/>
          <w:szCs w:val="28"/>
          <w:u w:val="single"/>
        </w:rPr>
        <w:t>3</w:t>
      </w:r>
      <w:r w:rsidRPr="00A30FF0">
        <w:rPr>
          <w:b/>
          <w:sz w:val="28"/>
          <w:szCs w:val="28"/>
          <w:u w:val="single"/>
        </w:rPr>
        <w:t> : Utilisa</w:t>
      </w:r>
      <w:r w:rsidR="00803084">
        <w:rPr>
          <w:b/>
          <w:sz w:val="28"/>
          <w:szCs w:val="28"/>
          <w:u w:val="single"/>
        </w:rPr>
        <w:t>tion</w:t>
      </w:r>
    </w:p>
    <w:p w:rsidR="00AE5DD3" w:rsidRDefault="0071092B" w:rsidP="00E50F37">
      <w:r>
        <w:t>En caisse, vous trouverez 3 nouveaux icônes dans la partie « CAISSE » :</w:t>
      </w:r>
    </w:p>
    <w:p w:rsidR="0071092B" w:rsidRDefault="0071092B" w:rsidP="0071092B">
      <w:pPr>
        <w:pStyle w:val="Paragraphedeliste"/>
        <w:numPr>
          <w:ilvl w:val="0"/>
          <w:numId w:val="27"/>
        </w:numPr>
      </w:pPr>
      <w:r>
        <w:t>DETAXE : Permet de faire la détaxe d’un ticket ou de la renvoyer.</w:t>
      </w:r>
    </w:p>
    <w:p w:rsidR="0071092B" w:rsidRDefault="0071092B" w:rsidP="0071092B">
      <w:pPr>
        <w:pStyle w:val="Paragraphedeliste"/>
        <w:numPr>
          <w:ilvl w:val="0"/>
          <w:numId w:val="27"/>
        </w:numPr>
      </w:pPr>
      <w:r>
        <w:t>ANNUL. DETAXE : Permet d’annuler la détaxe d’un ticket ou de le faire par recherche.</w:t>
      </w:r>
    </w:p>
    <w:p w:rsidR="00E50F37" w:rsidRDefault="0071092B" w:rsidP="0071092B">
      <w:pPr>
        <w:pStyle w:val="Paragraphedeliste"/>
        <w:numPr>
          <w:ilvl w:val="0"/>
          <w:numId w:val="27"/>
        </w:numPr>
      </w:pPr>
      <w:r>
        <w:t>IMP. DETAXE : Permet de réimprimer la dernière détaxe faites.</w:t>
      </w:r>
    </w:p>
    <w:p w:rsidR="0071092B" w:rsidRPr="006063A5" w:rsidRDefault="006063A5" w:rsidP="0071092B">
      <w:pPr>
        <w:rPr>
          <w:b/>
          <w:sz w:val="24"/>
          <w:szCs w:val="24"/>
          <w:u w:val="single"/>
        </w:rPr>
      </w:pPr>
      <w:r w:rsidRPr="006063A5">
        <w:rPr>
          <w:b/>
          <w:sz w:val="24"/>
          <w:szCs w:val="24"/>
          <w:u w:val="single"/>
        </w:rPr>
        <w:t>Demande de détaxe :</w:t>
      </w:r>
    </w:p>
    <w:p w:rsidR="0071092B" w:rsidRDefault="0071092B" w:rsidP="0071092B">
      <w:r>
        <w:t>Vous saisissez vos tickets normalement.</w:t>
      </w:r>
    </w:p>
    <w:p w:rsidR="0071092B" w:rsidRDefault="0071092B" w:rsidP="0071092B">
      <w:r>
        <w:t>Attention : Ceux</w:t>
      </w:r>
      <w:r>
        <w:t xml:space="preserve">-ci </w:t>
      </w:r>
      <w:proofErr w:type="gramStart"/>
      <w:r>
        <w:t>doit</w:t>
      </w:r>
      <w:proofErr w:type="gramEnd"/>
      <w:r>
        <w:t xml:space="preserve"> avoir un minimum de 175 €</w:t>
      </w:r>
      <w:r>
        <w:t xml:space="preserve"> selon la loi actuelle, ce montant peut changer si la législation évolue et Global Blue le met à jour automatiquement.</w:t>
      </w:r>
    </w:p>
    <w:p w:rsidR="0071092B" w:rsidRDefault="0071092B" w:rsidP="0071092B">
      <w:r>
        <w:rPr>
          <w:noProof/>
        </w:rPr>
        <w:drawing>
          <wp:inline distT="0" distB="0" distL="0" distR="0" wp14:anchorId="299FD7ED" wp14:editId="742B7410">
            <wp:extent cx="5760720" cy="4320540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2B" w:rsidRDefault="0071092B" w:rsidP="0071092B"/>
    <w:p w:rsidR="0071092B" w:rsidRDefault="0050242A" w:rsidP="0071092B">
      <w:r>
        <w:t>Quand vous voulez faire une détaxe, vous cli</w:t>
      </w:r>
      <w:r w:rsidR="0071092B">
        <w:t>quez sur « DETAXE » et vous tapez votre n° de ticket à déta</w:t>
      </w:r>
      <w:r>
        <w:t>xé.</w:t>
      </w:r>
    </w:p>
    <w:p w:rsidR="0050242A" w:rsidRDefault="0050242A" w:rsidP="0071092B">
      <w:r>
        <w:t>La fenêtre suivante s’ouvre</w:t>
      </w:r>
      <w:r w:rsidR="006063A5">
        <w:t> :</w:t>
      </w:r>
    </w:p>
    <w:p w:rsidR="0071092B" w:rsidRDefault="0071092B" w:rsidP="0071092B"/>
    <w:p w:rsidR="0071092B" w:rsidRDefault="0071092B" w:rsidP="0071092B">
      <w:r>
        <w:rPr>
          <w:noProof/>
        </w:rPr>
        <w:lastRenderedPageBreak/>
        <w:drawing>
          <wp:inline distT="0" distB="0" distL="0" distR="0" wp14:anchorId="42108944" wp14:editId="0F6ECE7F">
            <wp:extent cx="5760720" cy="46374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2B" w:rsidRDefault="006063A5" w:rsidP="006063A5">
      <w:r>
        <w:t>Vous contrôler les champs obligatoires (avec *) puis ensuite vous procéder à la demande (pour plus de renseignements sur cette fenêtre, il faut vous rapprocher de Global Blue).</w:t>
      </w:r>
    </w:p>
    <w:p w:rsidR="006063A5" w:rsidRDefault="006063A5" w:rsidP="006063A5">
      <w:r>
        <w:t>Si tout se passe bien vous revenez en caisse et vous aurez dans le journal le n° de document « </w:t>
      </w:r>
      <w:proofErr w:type="spellStart"/>
      <w:r>
        <w:t>DocId</w:t>
      </w:r>
      <w:proofErr w:type="spellEnd"/>
      <w:r>
        <w:t> » sinon vous aurez un message d’erreur.</w:t>
      </w:r>
    </w:p>
    <w:p w:rsidR="0071092B" w:rsidRDefault="0071092B" w:rsidP="0071092B">
      <w:r>
        <w:rPr>
          <w:noProof/>
        </w:rPr>
        <w:lastRenderedPageBreak/>
        <w:drawing>
          <wp:inline distT="0" distB="0" distL="0" distR="0" wp14:anchorId="28F49AFB" wp14:editId="4AEA558A">
            <wp:extent cx="5760720" cy="43205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2B" w:rsidRDefault="00803084" w:rsidP="0071092B">
      <w:r>
        <w:t>Pour renvoyer la demande de détaxe, il suffit de cliquer sur « DETAXE » sur un ticket déjà détaxé et le programme vous proposera de la renvoyer.</w:t>
      </w:r>
    </w:p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71092B" w:rsidRDefault="0071092B" w:rsidP="0071092B"/>
    <w:p w:rsidR="006063A5" w:rsidRPr="006063A5" w:rsidRDefault="006063A5" w:rsidP="006063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Annulation</w:t>
      </w:r>
      <w:r w:rsidRPr="006063A5">
        <w:rPr>
          <w:b/>
          <w:sz w:val="24"/>
          <w:szCs w:val="24"/>
          <w:u w:val="single"/>
        </w:rPr>
        <w:t xml:space="preserve"> de détaxe :</w:t>
      </w:r>
    </w:p>
    <w:p w:rsidR="006063A5" w:rsidRDefault="006063A5" w:rsidP="0071092B">
      <w:r>
        <w:t>Quand vous cliquerez sur « ANNUL. DETAXE » vous aurez la fenêtre suivante :</w:t>
      </w:r>
    </w:p>
    <w:p w:rsidR="006063A5" w:rsidRDefault="006063A5" w:rsidP="0071092B">
      <w:r>
        <w:rPr>
          <w:noProof/>
        </w:rPr>
        <w:drawing>
          <wp:inline distT="0" distB="0" distL="0" distR="0" wp14:anchorId="0A4014CD" wp14:editId="576AA3F5">
            <wp:extent cx="3943350" cy="12858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3A5" w:rsidRDefault="006063A5" w:rsidP="0071092B"/>
    <w:p w:rsidR="006063A5" w:rsidRDefault="006063A5" w:rsidP="0071092B">
      <w:r>
        <w:t>Oui = On va vous demander le n° de ticket</w:t>
      </w:r>
    </w:p>
    <w:p w:rsidR="006063A5" w:rsidRDefault="006063A5" w:rsidP="0071092B">
      <w:r>
        <w:t>Non = On va ouvrir la liste de recherche sur l’interface « Global Blue »</w:t>
      </w:r>
    </w:p>
    <w:p w:rsidR="0071092B" w:rsidRDefault="0071092B" w:rsidP="0071092B"/>
    <w:p w:rsidR="0071092B" w:rsidRDefault="006063A5" w:rsidP="0071092B">
      <w:r>
        <w:t xml:space="preserve">Dans les deux cas, Global Blue vous demandera de confirmer l’annulation avec un message de ce type : </w:t>
      </w:r>
    </w:p>
    <w:p w:rsidR="0071092B" w:rsidRDefault="0071092B" w:rsidP="0071092B">
      <w:r>
        <w:rPr>
          <w:noProof/>
        </w:rPr>
        <w:drawing>
          <wp:inline distT="0" distB="0" distL="0" distR="0" wp14:anchorId="6D3E83FF" wp14:editId="125ABAA9">
            <wp:extent cx="3867150" cy="19621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2B" w:rsidRDefault="0097047A" w:rsidP="0071092B">
      <w:r>
        <w:t>Puis vous reviendrez en caisse avec le résultat de l’opération.</w:t>
      </w:r>
    </w:p>
    <w:p w:rsidR="0071092B" w:rsidRDefault="0071092B" w:rsidP="0071092B">
      <w:pPr>
        <w:rPr>
          <w:noProof/>
        </w:rPr>
      </w:pPr>
    </w:p>
    <w:p w:rsidR="0097047A" w:rsidRDefault="0097047A" w:rsidP="0071092B"/>
    <w:p w:rsidR="0097047A" w:rsidRDefault="0097047A" w:rsidP="0071092B"/>
    <w:p w:rsidR="0097047A" w:rsidRDefault="0097047A" w:rsidP="0071092B"/>
    <w:p w:rsidR="0097047A" w:rsidRDefault="0097047A" w:rsidP="0071092B"/>
    <w:p w:rsidR="0071092B" w:rsidRDefault="0071092B" w:rsidP="0071092B"/>
    <w:p w:rsidR="0097047A" w:rsidRDefault="0097047A" w:rsidP="0071092B"/>
    <w:p w:rsidR="0097047A" w:rsidRDefault="0097047A" w:rsidP="0071092B">
      <w:r>
        <w:lastRenderedPageBreak/>
        <w:t>Si vous faites une demande par recherche, l’interface suivante de Global Blue s’ouvrira :</w:t>
      </w:r>
    </w:p>
    <w:p w:rsidR="0071092B" w:rsidRDefault="0071092B" w:rsidP="0071092B">
      <w:r>
        <w:rPr>
          <w:noProof/>
        </w:rPr>
        <w:drawing>
          <wp:inline distT="0" distB="0" distL="0" distR="0" wp14:anchorId="2A16585F" wp14:editId="3648F912">
            <wp:extent cx="5760720" cy="4926330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92B" w:rsidRDefault="0097047A" w:rsidP="0097047A">
      <w:r>
        <w:t>Ici vous pouvez chercher une détaxe et procéder à son annulation en cliquant sur « </w:t>
      </w:r>
      <w:proofErr w:type="spellStart"/>
      <w:r>
        <w:t>Void</w:t>
      </w:r>
      <w:proofErr w:type="spellEnd"/>
      <w:r>
        <w:t xml:space="preserve"> </w:t>
      </w:r>
      <w:proofErr w:type="spellStart"/>
      <w:r>
        <w:t>Form</w:t>
      </w:r>
      <w:proofErr w:type="spellEnd"/>
      <w:r>
        <w:t> » (plus de détails auprès de Global Blue).</w:t>
      </w:r>
    </w:p>
    <w:p w:rsidR="0071092B" w:rsidRDefault="0071092B" w:rsidP="0071092B"/>
    <w:p w:rsidR="0071092B" w:rsidRDefault="0071092B" w:rsidP="0071092B">
      <w:pPr>
        <w:rPr>
          <w:noProof/>
        </w:rPr>
      </w:pPr>
    </w:p>
    <w:p w:rsidR="0097047A" w:rsidRDefault="0097047A" w:rsidP="0071092B"/>
    <w:p w:rsidR="0097047A" w:rsidRDefault="0097047A" w:rsidP="0071092B"/>
    <w:p w:rsidR="0097047A" w:rsidRDefault="0097047A" w:rsidP="0071092B"/>
    <w:p w:rsidR="0071092B" w:rsidRDefault="0071092B" w:rsidP="0071092B"/>
    <w:p w:rsidR="0071092B" w:rsidRDefault="0071092B" w:rsidP="0071092B"/>
    <w:p w:rsidR="0071092B" w:rsidRDefault="0071092B" w:rsidP="0071092B"/>
    <w:p w:rsidR="0097047A" w:rsidRPr="006063A5" w:rsidRDefault="0097047A" w:rsidP="0097047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Réimpression</w:t>
      </w:r>
      <w:r w:rsidRPr="006063A5">
        <w:rPr>
          <w:b/>
          <w:sz w:val="24"/>
          <w:szCs w:val="24"/>
          <w:u w:val="single"/>
        </w:rPr>
        <w:t xml:space="preserve"> de détaxe :</w:t>
      </w:r>
    </w:p>
    <w:p w:rsidR="0071092B" w:rsidRDefault="0097047A" w:rsidP="0071092B">
      <w:r>
        <w:t>Quand vous cliquerez sur « </w:t>
      </w:r>
      <w:r>
        <w:t>IMP</w:t>
      </w:r>
      <w:r>
        <w:t xml:space="preserve">. DETAXE » </w:t>
      </w:r>
      <w:r w:rsidR="00803084">
        <w:t>l’impression du dernier ticket détaxé s’imprimera.</w:t>
      </w:r>
    </w:p>
    <w:p w:rsidR="0071092B" w:rsidRDefault="0071092B" w:rsidP="0071092B">
      <w:bookmarkStart w:id="0" w:name="_GoBack"/>
      <w:bookmarkEnd w:id="0"/>
    </w:p>
    <w:sectPr w:rsidR="0071092B" w:rsidSect="00C45DD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B5" w:rsidRDefault="004E0BB5" w:rsidP="00BE67AE">
      <w:pPr>
        <w:spacing w:after="0" w:line="240" w:lineRule="auto"/>
      </w:pPr>
      <w:r>
        <w:separator/>
      </w:r>
    </w:p>
  </w:endnote>
  <w:endnote w:type="continuationSeparator" w:id="0">
    <w:p w:rsidR="004E0BB5" w:rsidRDefault="004E0BB5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67AE" w:rsidRDefault="00BE67AE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LCV </w:t>
        </w:r>
        <w:proofErr w:type="spellStart"/>
        <w:r>
          <w:rPr>
            <w:i/>
            <w:iCs/>
            <w:color w:val="8C8C8C" w:themeColor="background1" w:themeShade="8C"/>
          </w:rPr>
          <w:t>MUltimédia</w:t>
        </w:r>
        <w:proofErr w:type="spellEnd"/>
      </w:p>
    </w:sdtContent>
  </w:sdt>
  <w:p w:rsidR="00BE67AE" w:rsidRDefault="00BE67AE" w:rsidP="00BE67AE">
    <w:pPr>
      <w:pStyle w:val="Pieddepage"/>
    </w:pPr>
  </w:p>
  <w:p w:rsidR="00BE67AE" w:rsidRDefault="00BE67AE" w:rsidP="00BE67AE">
    <w:pPr>
      <w:pStyle w:val="Pieddepage"/>
    </w:pPr>
  </w:p>
  <w:p w:rsidR="00BE67AE" w:rsidRDefault="00BE6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B5" w:rsidRDefault="004E0BB5" w:rsidP="00BE67AE">
      <w:pPr>
        <w:spacing w:after="0" w:line="240" w:lineRule="auto"/>
      </w:pPr>
      <w:r>
        <w:separator/>
      </w:r>
    </w:p>
  </w:footnote>
  <w:footnote w:type="continuationSeparator" w:id="0">
    <w:p w:rsidR="004E0BB5" w:rsidRDefault="004E0BB5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AE" w:rsidRDefault="004E0BB5">
    <w:pPr>
      <w:pStyle w:val="En-tte"/>
    </w:pPr>
    <w:r>
      <w:rPr>
        <w:noProof/>
        <w:lang w:eastAsia="fr-FR"/>
      </w:rPr>
      <w:pict>
        <v:group id="_x0000_s2049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678D33E5323347C397B971F823AECA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BE67AE" w:rsidRDefault="006A7079" w:rsidP="00BE67AE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Documentation – </w:t>
                      </w:r>
                      <w:r w:rsidR="002C64CE">
                        <w:rPr>
                          <w:color w:val="FFFFFF" w:themeColor="background1"/>
                          <w:sz w:val="28"/>
                          <w:szCs w:val="28"/>
                        </w:rPr>
                        <w:t>Détaxe Global Blue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BE67AE" w:rsidRDefault="00BE67AE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5AD"/>
    <w:multiLevelType w:val="hybridMultilevel"/>
    <w:tmpl w:val="58983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198"/>
    <w:multiLevelType w:val="hybridMultilevel"/>
    <w:tmpl w:val="403CC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9D9"/>
    <w:multiLevelType w:val="hybridMultilevel"/>
    <w:tmpl w:val="11401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431F"/>
    <w:multiLevelType w:val="hybridMultilevel"/>
    <w:tmpl w:val="DA5A3756"/>
    <w:lvl w:ilvl="0" w:tplc="A03A7C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3053A"/>
    <w:multiLevelType w:val="hybridMultilevel"/>
    <w:tmpl w:val="B2841704"/>
    <w:lvl w:ilvl="0" w:tplc="DA4AE1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2E0A6A"/>
    <w:multiLevelType w:val="hybridMultilevel"/>
    <w:tmpl w:val="CA30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E2384"/>
    <w:multiLevelType w:val="hybridMultilevel"/>
    <w:tmpl w:val="2D4078D6"/>
    <w:lvl w:ilvl="0" w:tplc="96500A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76116"/>
    <w:multiLevelType w:val="hybridMultilevel"/>
    <w:tmpl w:val="35044AD2"/>
    <w:lvl w:ilvl="0" w:tplc="1E923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1"/>
  </w:num>
  <w:num w:numId="5">
    <w:abstractNumId w:val="25"/>
  </w:num>
  <w:num w:numId="6">
    <w:abstractNumId w:val="12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20"/>
  </w:num>
  <w:num w:numId="12">
    <w:abstractNumId w:val="10"/>
  </w:num>
  <w:num w:numId="13">
    <w:abstractNumId w:val="1"/>
  </w:num>
  <w:num w:numId="14">
    <w:abstractNumId w:val="26"/>
  </w:num>
  <w:num w:numId="15">
    <w:abstractNumId w:val="7"/>
  </w:num>
  <w:num w:numId="16">
    <w:abstractNumId w:val="11"/>
  </w:num>
  <w:num w:numId="17">
    <w:abstractNumId w:val="9"/>
  </w:num>
  <w:num w:numId="18">
    <w:abstractNumId w:val="17"/>
  </w:num>
  <w:num w:numId="19">
    <w:abstractNumId w:val="24"/>
  </w:num>
  <w:num w:numId="20">
    <w:abstractNumId w:val="4"/>
  </w:num>
  <w:num w:numId="21">
    <w:abstractNumId w:val="16"/>
  </w:num>
  <w:num w:numId="22">
    <w:abstractNumId w:val="23"/>
  </w:num>
  <w:num w:numId="23">
    <w:abstractNumId w:val="18"/>
  </w:num>
  <w:num w:numId="24">
    <w:abstractNumId w:val="3"/>
  </w:num>
  <w:num w:numId="25">
    <w:abstractNumId w:val="15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6E0"/>
    <w:rsid w:val="00005902"/>
    <w:rsid w:val="000307CE"/>
    <w:rsid w:val="00040B6E"/>
    <w:rsid w:val="00051311"/>
    <w:rsid w:val="000577C8"/>
    <w:rsid w:val="00087AD3"/>
    <w:rsid w:val="000A5D4B"/>
    <w:rsid w:val="000A5DE5"/>
    <w:rsid w:val="000A73A9"/>
    <w:rsid w:val="000B57A0"/>
    <w:rsid w:val="000B5CB3"/>
    <w:rsid w:val="000C19AB"/>
    <w:rsid w:val="000C68DF"/>
    <w:rsid w:val="000D416C"/>
    <w:rsid w:val="000D45B5"/>
    <w:rsid w:val="000D4EF5"/>
    <w:rsid w:val="000F501C"/>
    <w:rsid w:val="00100CA2"/>
    <w:rsid w:val="0010245B"/>
    <w:rsid w:val="00157002"/>
    <w:rsid w:val="00182125"/>
    <w:rsid w:val="001840BC"/>
    <w:rsid w:val="00184DCB"/>
    <w:rsid w:val="001B6157"/>
    <w:rsid w:val="001C7E88"/>
    <w:rsid w:val="00205411"/>
    <w:rsid w:val="00213918"/>
    <w:rsid w:val="002242BE"/>
    <w:rsid w:val="00251F51"/>
    <w:rsid w:val="00252CB1"/>
    <w:rsid w:val="0027539D"/>
    <w:rsid w:val="00281944"/>
    <w:rsid w:val="002C64CE"/>
    <w:rsid w:val="002E7036"/>
    <w:rsid w:val="00332EAF"/>
    <w:rsid w:val="00333E96"/>
    <w:rsid w:val="00355A14"/>
    <w:rsid w:val="003B275E"/>
    <w:rsid w:val="003C4F82"/>
    <w:rsid w:val="003C7538"/>
    <w:rsid w:val="003E2113"/>
    <w:rsid w:val="003E5601"/>
    <w:rsid w:val="003F665F"/>
    <w:rsid w:val="0040798F"/>
    <w:rsid w:val="004277CE"/>
    <w:rsid w:val="00431A61"/>
    <w:rsid w:val="00443B66"/>
    <w:rsid w:val="004669B7"/>
    <w:rsid w:val="004A78A6"/>
    <w:rsid w:val="004C2AA9"/>
    <w:rsid w:val="004D6F70"/>
    <w:rsid w:val="004E0BB5"/>
    <w:rsid w:val="004F21D6"/>
    <w:rsid w:val="0050242A"/>
    <w:rsid w:val="00516000"/>
    <w:rsid w:val="005224F2"/>
    <w:rsid w:val="005576BC"/>
    <w:rsid w:val="00573D07"/>
    <w:rsid w:val="005928B8"/>
    <w:rsid w:val="005C0C93"/>
    <w:rsid w:val="006063A5"/>
    <w:rsid w:val="00610448"/>
    <w:rsid w:val="00660517"/>
    <w:rsid w:val="0066110D"/>
    <w:rsid w:val="0066362A"/>
    <w:rsid w:val="006740E6"/>
    <w:rsid w:val="00675CC3"/>
    <w:rsid w:val="00684D3D"/>
    <w:rsid w:val="00694BFB"/>
    <w:rsid w:val="006951D6"/>
    <w:rsid w:val="006958DE"/>
    <w:rsid w:val="006A7079"/>
    <w:rsid w:val="006B13CF"/>
    <w:rsid w:val="006B1DE9"/>
    <w:rsid w:val="006B6210"/>
    <w:rsid w:val="0071092B"/>
    <w:rsid w:val="0071723E"/>
    <w:rsid w:val="007665E5"/>
    <w:rsid w:val="00782F26"/>
    <w:rsid w:val="007B4492"/>
    <w:rsid w:val="007B6607"/>
    <w:rsid w:val="007C54DF"/>
    <w:rsid w:val="007D5DC9"/>
    <w:rsid w:val="007D5F6A"/>
    <w:rsid w:val="007E18AF"/>
    <w:rsid w:val="00803084"/>
    <w:rsid w:val="00817EC0"/>
    <w:rsid w:val="00820D88"/>
    <w:rsid w:val="00823BDD"/>
    <w:rsid w:val="00843414"/>
    <w:rsid w:val="0085203F"/>
    <w:rsid w:val="0085332E"/>
    <w:rsid w:val="008A0305"/>
    <w:rsid w:val="008B3B2E"/>
    <w:rsid w:val="008B3E64"/>
    <w:rsid w:val="008D15E9"/>
    <w:rsid w:val="0090047C"/>
    <w:rsid w:val="009010ED"/>
    <w:rsid w:val="009079ED"/>
    <w:rsid w:val="00930D88"/>
    <w:rsid w:val="009361A9"/>
    <w:rsid w:val="00963B36"/>
    <w:rsid w:val="0097047A"/>
    <w:rsid w:val="0097408F"/>
    <w:rsid w:val="00985E8A"/>
    <w:rsid w:val="00991FD0"/>
    <w:rsid w:val="009C26E0"/>
    <w:rsid w:val="009C44CD"/>
    <w:rsid w:val="009D488F"/>
    <w:rsid w:val="009F2C8A"/>
    <w:rsid w:val="009F52F0"/>
    <w:rsid w:val="00A20C09"/>
    <w:rsid w:val="00A26980"/>
    <w:rsid w:val="00A274BA"/>
    <w:rsid w:val="00A30FF0"/>
    <w:rsid w:val="00A86EF2"/>
    <w:rsid w:val="00AA137D"/>
    <w:rsid w:val="00AA14A8"/>
    <w:rsid w:val="00AC4FEA"/>
    <w:rsid w:val="00AD1840"/>
    <w:rsid w:val="00AD2EE4"/>
    <w:rsid w:val="00AD45EA"/>
    <w:rsid w:val="00AE5DD3"/>
    <w:rsid w:val="00AF0908"/>
    <w:rsid w:val="00B058A1"/>
    <w:rsid w:val="00B06706"/>
    <w:rsid w:val="00B17C67"/>
    <w:rsid w:val="00B45D9A"/>
    <w:rsid w:val="00B70E64"/>
    <w:rsid w:val="00B742DA"/>
    <w:rsid w:val="00B75CA7"/>
    <w:rsid w:val="00B801DA"/>
    <w:rsid w:val="00B87BED"/>
    <w:rsid w:val="00BA0E36"/>
    <w:rsid w:val="00BA2143"/>
    <w:rsid w:val="00BA36CD"/>
    <w:rsid w:val="00BB6C5F"/>
    <w:rsid w:val="00BD27D3"/>
    <w:rsid w:val="00BE67AE"/>
    <w:rsid w:val="00BE6C5E"/>
    <w:rsid w:val="00BF59FF"/>
    <w:rsid w:val="00C45DDD"/>
    <w:rsid w:val="00C66787"/>
    <w:rsid w:val="00C84C13"/>
    <w:rsid w:val="00C8672C"/>
    <w:rsid w:val="00C86F8E"/>
    <w:rsid w:val="00C933E3"/>
    <w:rsid w:val="00C96A00"/>
    <w:rsid w:val="00C97B55"/>
    <w:rsid w:val="00CB5CD7"/>
    <w:rsid w:val="00CC2892"/>
    <w:rsid w:val="00CD4878"/>
    <w:rsid w:val="00CD758A"/>
    <w:rsid w:val="00CE4E40"/>
    <w:rsid w:val="00D12338"/>
    <w:rsid w:val="00D24CBB"/>
    <w:rsid w:val="00D26A05"/>
    <w:rsid w:val="00D626E5"/>
    <w:rsid w:val="00D7070C"/>
    <w:rsid w:val="00D71D47"/>
    <w:rsid w:val="00D919EA"/>
    <w:rsid w:val="00D947BB"/>
    <w:rsid w:val="00DA54A6"/>
    <w:rsid w:val="00DA766D"/>
    <w:rsid w:val="00DB026F"/>
    <w:rsid w:val="00DE55C0"/>
    <w:rsid w:val="00DE79F8"/>
    <w:rsid w:val="00E42B78"/>
    <w:rsid w:val="00E50F37"/>
    <w:rsid w:val="00E54601"/>
    <w:rsid w:val="00E5641C"/>
    <w:rsid w:val="00E60BAF"/>
    <w:rsid w:val="00E8340A"/>
    <w:rsid w:val="00E864D1"/>
    <w:rsid w:val="00E90FB1"/>
    <w:rsid w:val="00E91C4C"/>
    <w:rsid w:val="00E9212B"/>
    <w:rsid w:val="00E96B14"/>
    <w:rsid w:val="00EC7EFF"/>
    <w:rsid w:val="00EF5D30"/>
    <w:rsid w:val="00EF750B"/>
    <w:rsid w:val="00F23897"/>
    <w:rsid w:val="00F7412D"/>
    <w:rsid w:val="00F82CAE"/>
    <w:rsid w:val="00FB76DD"/>
    <w:rsid w:val="00FF0717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0E729E"/>
  <w15:docId w15:val="{32755A8A-0AC6-40D9-A99B-63E9D0D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B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2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8D33E5323347C397B971F823AE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B1AA-3798-4BF8-8C40-AAE21B326EB4}"/>
      </w:docPartPr>
      <w:docPartBody>
        <w:p w:rsidR="00A7320C" w:rsidRDefault="004D28FE" w:rsidP="004D28FE">
          <w:pPr>
            <w:pStyle w:val="678D33E5323347C397B971F823AECA12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8FE"/>
    <w:rsid w:val="000874C7"/>
    <w:rsid w:val="000D6BD6"/>
    <w:rsid w:val="000E6E7E"/>
    <w:rsid w:val="001A095D"/>
    <w:rsid w:val="0022257C"/>
    <w:rsid w:val="00267F0C"/>
    <w:rsid w:val="002A08F4"/>
    <w:rsid w:val="003C0206"/>
    <w:rsid w:val="004D28FE"/>
    <w:rsid w:val="00583ECD"/>
    <w:rsid w:val="00595ABD"/>
    <w:rsid w:val="006A15C1"/>
    <w:rsid w:val="007C1FCD"/>
    <w:rsid w:val="008F5660"/>
    <w:rsid w:val="00A114F1"/>
    <w:rsid w:val="00A633E3"/>
    <w:rsid w:val="00A7320C"/>
    <w:rsid w:val="00B42773"/>
    <w:rsid w:val="00B76989"/>
    <w:rsid w:val="00BF2344"/>
    <w:rsid w:val="00C22189"/>
    <w:rsid w:val="00D26D0B"/>
    <w:rsid w:val="00DC4191"/>
    <w:rsid w:val="00EF16FD"/>
    <w:rsid w:val="00FC7D58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Mise à jour automatique</vt:lpstr>
    </vt:vector>
  </TitlesOfParts>
  <Company>LCV MUltimédia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Détaxe Global Blue</dc:title>
  <dc:creator>mickael</dc:creator>
  <cp:lastModifiedBy>Mickael BIANCHESSI</cp:lastModifiedBy>
  <cp:revision>133</cp:revision>
  <dcterms:created xsi:type="dcterms:W3CDTF">2013-09-12T07:58:00Z</dcterms:created>
  <dcterms:modified xsi:type="dcterms:W3CDTF">2018-03-21T12:38:00Z</dcterms:modified>
</cp:coreProperties>
</file>